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6002" w14:textId="77777777" w:rsidR="009F2265" w:rsidRDefault="00000000">
      <w:pPr>
        <w:spacing w:afterLines="200" w:after="624" w:line="360" w:lineRule="auto"/>
        <w:jc w:val="center"/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上海交通大学“荣昶奖学金”实施方案及评审细则</w:t>
      </w:r>
    </w:p>
    <w:p w14:paraId="5EA96003" w14:textId="77777777" w:rsidR="009F2265" w:rsidRDefault="00000000">
      <w:pPr>
        <w:numPr>
          <w:ilvl w:val="0"/>
          <w:numId w:val="1"/>
        </w:numPr>
        <w:spacing w:line="360" w:lineRule="auto"/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t>项目背景</w:t>
      </w:r>
    </w:p>
    <w:p w14:paraId="5EA96004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为支持我校教育事业发展，激励帮助在校学生成长为创新型领袖人才，上海荣昶公益基金会在我校设立“上海交通大学荣昶奖学金”，以表彰激励在科技创新和领导能力方面表现突出的在校学生。</w:t>
      </w:r>
    </w:p>
    <w:p w14:paraId="5EA96005" w14:textId="77777777" w:rsidR="009F2265" w:rsidRDefault="00000000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kern w:val="0"/>
          <w:sz w:val="28"/>
          <w:szCs w:val="28"/>
          <w:lang w:bidi="ar"/>
        </w:rPr>
        <w:t>根据《上海交通大学奖学金评选管理办法》及捐赠协议内容，</w:t>
      </w:r>
    </w:p>
    <w:p w14:paraId="5EA96006" w14:textId="77777777" w:rsidR="009F2265" w:rsidRDefault="00000000">
      <w:pPr>
        <w:widowControl/>
        <w:jc w:val="left"/>
        <w:rPr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lang w:bidi="ar"/>
        </w:rPr>
        <w:t>结合我校实际情况制定本案。</w:t>
      </w:r>
    </w:p>
    <w:p w14:paraId="5EA96007" w14:textId="77777777" w:rsidR="009F2265" w:rsidRDefault="00000000">
      <w:pPr>
        <w:numPr>
          <w:ilvl w:val="0"/>
          <w:numId w:val="1"/>
        </w:numPr>
        <w:spacing w:beforeLines="100" w:before="312" w:line="360" w:lineRule="auto"/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t>奖励对象、名额及金额</w:t>
      </w:r>
    </w:p>
    <w:p w14:paraId="5EA96008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“荣昶奖学金”分为“荣昶科技创新奖学金”、“荣昶领导能力奖学金”、“荣昶奖学金提名奖”，具体要求如下：</w:t>
      </w:r>
    </w:p>
    <w:p w14:paraId="5EA96009" w14:textId="77777777" w:rsidR="009F2265" w:rsidRPr="00A657AF" w:rsidRDefault="00000000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 w:rsidRPr="00A657AF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（一）荣昶科技创新奖学金</w:t>
      </w:r>
    </w:p>
    <w:p w14:paraId="5EA9600A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 奖励对象：上海交通大学全日</w:t>
      </w:r>
      <w:r w:rsidRPr="00A657AF">
        <w:rPr>
          <w:rFonts w:ascii="仿宋" w:eastAsia="仿宋" w:hAnsi="仿宋" w:cs="仿宋" w:hint="eastAsia"/>
          <w:color w:val="000000" w:themeColor="text1"/>
          <w:sz w:val="28"/>
          <w:szCs w:val="28"/>
        </w:rPr>
        <w:t>制在读的中国籍本科二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年级或三年级学生，硕士或博士研究生一年级学生。</w:t>
      </w:r>
    </w:p>
    <w:p w14:paraId="5EA9600B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 奖励名额：今年拟新评奖学金15名（本科生至多获评3名）、续评约20名。</w:t>
      </w:r>
    </w:p>
    <w:p w14:paraId="5EA9600C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 奖励金额：每名奖学金获奖学生每年奖励人民币30,000.00元，对获得该项奖学金资助的学生从获奖之日起，凡经复审合格者可至多连续两年续评。</w:t>
      </w:r>
    </w:p>
    <w:p w14:paraId="5EA9600D" w14:textId="77777777" w:rsidR="009F2265" w:rsidRPr="00A657AF" w:rsidRDefault="00000000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 w:rsidRPr="00A657AF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（二）荣昶领导能力奖学金</w:t>
      </w:r>
    </w:p>
    <w:p w14:paraId="5EA9600E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 奖励对象：上海交通大学全日制在读</w:t>
      </w:r>
      <w:r w:rsidRPr="00A657AF">
        <w:rPr>
          <w:rFonts w:ascii="仿宋" w:eastAsia="仿宋" w:hAnsi="仿宋" w:cs="仿宋" w:hint="eastAsia"/>
          <w:color w:val="000000" w:themeColor="text1"/>
          <w:sz w:val="28"/>
          <w:szCs w:val="28"/>
        </w:rPr>
        <w:t>的中国籍本科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二年级或三年级学生，硕士或博士研究生一年级学生。</w:t>
      </w:r>
    </w:p>
    <w:p w14:paraId="5EA9600F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2. 奖励名额：今年拟新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评奖学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15名，续评约25名。</w:t>
      </w:r>
    </w:p>
    <w:p w14:paraId="5EA96010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 奖励金额：每名奖学金获奖学生每年奖励人民币20,000.00元，对获得该项奖学金资助的学生从获奖之日起，凡经复审合格者可至多连续两次续评。</w:t>
      </w:r>
    </w:p>
    <w:p w14:paraId="5EA96011" w14:textId="77777777" w:rsidR="009F2265" w:rsidRPr="00A657AF" w:rsidRDefault="00000000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 w:rsidRPr="00A657AF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（三）荣昶奖学金提名奖</w:t>
      </w:r>
    </w:p>
    <w:p w14:paraId="5EA96012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 奖励对象：申请“荣昶科技创新奖学金”或“荣昶领导能力奖学金”并进入终审环节，但未获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评上述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两项奖学金的学生。</w:t>
      </w:r>
    </w:p>
    <w:p w14:paraId="5EA96013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 奖励名额：新评约30名。</w:t>
      </w:r>
    </w:p>
    <w:p w14:paraId="5EA96014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 奖励金额：每名提名奖获奖学生奖励人民币10,000.00元，不可续评。</w:t>
      </w:r>
    </w:p>
    <w:p w14:paraId="5EA96016" w14:textId="77777777" w:rsidR="009F2265" w:rsidRDefault="00000000">
      <w:pPr>
        <w:numPr>
          <w:ilvl w:val="0"/>
          <w:numId w:val="1"/>
        </w:numPr>
        <w:spacing w:beforeLines="100" w:before="312" w:line="360" w:lineRule="auto"/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t>评审条件</w:t>
      </w:r>
    </w:p>
    <w:p w14:paraId="5EA96017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trike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“荣昶奖学金”分为“荣昶科技创新奖学金”、“荣昶领导能力奖学金”、“荣昶奖学金提名奖”，具体要求如下：</w:t>
      </w:r>
    </w:p>
    <w:p w14:paraId="5EA96018" w14:textId="77777777" w:rsidR="009F2265" w:rsidRPr="008E2F95" w:rsidRDefault="00000000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 w:rsidRPr="008E2F95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（一）基本条件</w:t>
      </w:r>
    </w:p>
    <w:p w14:paraId="5EA96019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 思想端正，诚实守信，品德优良；</w:t>
      </w:r>
    </w:p>
    <w:p w14:paraId="5EA9601A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 学习勤奋，态度端正，成绩优秀；</w:t>
      </w:r>
    </w:p>
    <w:p w14:paraId="5EA9601B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 热心公益，积极承担社会责任；</w:t>
      </w:r>
    </w:p>
    <w:p w14:paraId="5EA9601C" w14:textId="77777777" w:rsidR="009F2265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 身心健康、热心公益、乐于奉献；</w:t>
      </w:r>
    </w:p>
    <w:p w14:paraId="5EA9601D" w14:textId="77777777" w:rsidR="009F2265" w:rsidRDefault="00000000">
      <w:pPr>
        <w:spacing w:line="360" w:lineRule="auto"/>
        <w:ind w:firstLine="57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（二）“荣昶科技创新奖学金”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面向上海交通大学全日制在读的中国籍本科二年级或三年级学生、硕士或博士研究生一年级学生，要求学生评奖年度的学习成绩排名应为专业前30%，且无不及格现象。硕一、博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同学可提供足以证明学业优秀的相关材料</w:t>
      </w:r>
    </w:p>
    <w:p w14:paraId="5EA9601E" w14:textId="77777777" w:rsidR="009F2265" w:rsidRDefault="00000000">
      <w:pPr>
        <w:spacing w:line="360" w:lineRule="auto"/>
        <w:ind w:firstLine="570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lastRenderedPageBreak/>
        <w:t>申请新评的学生另需在评奖年度至少具备以下条件中的一项：</w:t>
      </w:r>
    </w:p>
    <w:p w14:paraId="5EA9601F" w14:textId="77777777" w:rsidR="009F2265" w:rsidRDefault="00000000">
      <w:pPr>
        <w:numPr>
          <w:ilvl w:val="0"/>
          <w:numId w:val="2"/>
        </w:num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在学术研究上取得显著成绩，论文（第一作者）被SCI、EI、ISTP全文收录或在国际权威学术刊物、国内核心学术刊物上录用；</w:t>
      </w:r>
    </w:p>
    <w:p w14:paraId="5EA96020" w14:textId="77777777" w:rsidR="009F2265" w:rsidRDefault="00000000">
      <w:pPr>
        <w:numPr>
          <w:ilvl w:val="0"/>
          <w:numId w:val="2"/>
        </w:num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在学科竞赛方面取得显著成绩，在挑战杯或者学校认定的A类竞赛中获得一等奖（或金奖）及以上奖励；</w:t>
      </w:r>
    </w:p>
    <w:p w14:paraId="5EA96021" w14:textId="77777777" w:rsidR="009F2265" w:rsidRDefault="00000000">
      <w:pPr>
        <w:numPr>
          <w:ilvl w:val="0"/>
          <w:numId w:val="2"/>
        </w:num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在创新发明方面取得显著成绩，成果获政府或其他官方组织授予国家、省部级奖励；</w:t>
      </w:r>
    </w:p>
    <w:p w14:paraId="5EA96022" w14:textId="77777777" w:rsidR="009F2265" w:rsidRDefault="0000000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兴趣广泛，具有较强的研究能力、创新能力、动手能力或分析解决实际问题的能力，在学生科技创新活动中取得突出成绩，表现出特别优秀的科技创新能力和潜力。</w:t>
      </w:r>
    </w:p>
    <w:p w14:paraId="5EA96023" w14:textId="77777777" w:rsidR="009F2265" w:rsidRDefault="00000000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申请续评的学生需在评奖年度至少具备以下条件中的一项：</w:t>
      </w:r>
    </w:p>
    <w:p w14:paraId="5EA96024" w14:textId="77777777" w:rsidR="009F2265" w:rsidRDefault="00000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在学术研究上取得显著成绩，论文（第一、二作者）被SCI、EI、ISTP</w:t>
      </w:r>
    </w:p>
    <w:p w14:paraId="5EA96025" w14:textId="77777777" w:rsidR="009F2265" w:rsidRDefault="00000000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全文收录或在国际权威学术刊物、国内核心学术刊物上录用；</w:t>
      </w:r>
    </w:p>
    <w:p w14:paraId="5EA96026" w14:textId="77777777" w:rsidR="009F2265" w:rsidRDefault="00000000">
      <w:pPr>
        <w:numPr>
          <w:ilvl w:val="0"/>
          <w:numId w:val="3"/>
        </w:numPr>
        <w:spacing w:line="360" w:lineRule="auto"/>
        <w:ind w:firstLineChars="200" w:firstLine="56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在学科竞赛方面取得显著成绩，在挑战杯或者学校认定的A类竞赛中获得一、二等奖（或金、银奖）及以上奖励；</w:t>
      </w:r>
    </w:p>
    <w:p w14:paraId="5EA96027" w14:textId="77777777" w:rsidR="009F2265" w:rsidRDefault="00000000">
      <w:pPr>
        <w:numPr>
          <w:ilvl w:val="0"/>
          <w:numId w:val="3"/>
        </w:num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在创新发明方面取得突出成绩，成果获政府或其他官方组织授予国家、省部级奖励；</w:t>
      </w:r>
    </w:p>
    <w:p w14:paraId="5EA96028" w14:textId="77777777" w:rsidR="009F2265" w:rsidRDefault="00000000">
      <w:pPr>
        <w:numPr>
          <w:ilvl w:val="0"/>
          <w:numId w:val="3"/>
        </w:numPr>
        <w:spacing w:line="360" w:lineRule="auto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参加国际或国内重要学术会议，投稿并收录；</w:t>
      </w:r>
    </w:p>
    <w:p w14:paraId="5EA96029" w14:textId="77777777" w:rsidR="009F2265" w:rsidRDefault="00000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有其他突出成绩可以显示学生具有较强的研究能力、创新能力、动手能力或分析解决实际问题的能力。</w:t>
      </w:r>
    </w:p>
    <w:p w14:paraId="5EA9602A" w14:textId="77777777" w:rsidR="009F2265" w:rsidRDefault="00000000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注：若不符合续评资格或因其他原因不参加本次续评，需提交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lastRenderedPageBreak/>
        <w:t>取消续评说明。</w:t>
      </w:r>
    </w:p>
    <w:p w14:paraId="5EA9602B" w14:textId="77777777" w:rsidR="009F2265" w:rsidRDefault="00000000">
      <w:pPr>
        <w:spacing w:line="360" w:lineRule="auto"/>
        <w:ind w:firstLine="57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（三）“荣昶领导能力奖学金”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新评面向上海交通大学全日制在读中国籍本科生二年级、三年级学生，硕士一年级或博士一年级学生。要求参评本科学生评奖年度的学习成绩排名为前30%，且无不及格现象。硕一、博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同学可提供足以证明学业优秀的相关材料。</w:t>
      </w:r>
    </w:p>
    <w:p w14:paraId="5EA9602C" w14:textId="77777777" w:rsidR="009F2265" w:rsidRDefault="00000000">
      <w:pPr>
        <w:spacing w:line="360" w:lineRule="auto"/>
        <w:ind w:firstLine="570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申请新评的学生另需在评奖年度至少具备以下条件中的一项：</w:t>
      </w:r>
    </w:p>
    <w:p w14:paraId="5EA9602D" w14:textId="77777777" w:rsidR="009F2265" w:rsidRDefault="00000000">
      <w:pPr>
        <w:numPr>
          <w:ilvl w:val="0"/>
          <w:numId w:val="4"/>
        </w:numPr>
        <w:spacing w:line="360" w:lineRule="auto"/>
        <w:ind w:firstLine="57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在学校认定的学生组织和社团中担任主要学生干部一学期及以上，热心为同学服务，能力突出，业绩显著，在同学中有较高威信，起到了学生骨干和模范带头作用；</w:t>
      </w:r>
    </w:p>
    <w:p w14:paraId="5EA9602E" w14:textId="77777777" w:rsidR="009F2265" w:rsidRDefault="00000000">
      <w:pPr>
        <w:numPr>
          <w:ilvl w:val="0"/>
          <w:numId w:val="4"/>
        </w:numPr>
        <w:spacing w:line="360" w:lineRule="auto"/>
        <w:ind w:firstLine="57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具有较强社会责任心，积极参加社会公益活动、暑期社会实践活动、支教活动等，成绩显著；</w:t>
      </w:r>
    </w:p>
    <w:p w14:paraId="5EA9602F" w14:textId="77777777" w:rsidR="009F2265" w:rsidRDefault="00000000">
      <w:pPr>
        <w:numPr>
          <w:ilvl w:val="0"/>
          <w:numId w:val="4"/>
        </w:numPr>
        <w:spacing w:line="360" w:lineRule="auto"/>
        <w:ind w:firstLine="57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在创新创业等其他活动中表现优异，表现出特别出色的领导能力和潜力。</w:t>
      </w:r>
    </w:p>
    <w:p w14:paraId="5EA96030" w14:textId="77777777" w:rsidR="009F2265" w:rsidRDefault="00000000">
      <w:pPr>
        <w:spacing w:line="360" w:lineRule="auto"/>
        <w:ind w:firstLine="570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申请续评的学生另需在评奖年度至少具备以下条件中的一项：</w:t>
      </w:r>
    </w:p>
    <w:p w14:paraId="5EA96031" w14:textId="77777777" w:rsidR="009F2265" w:rsidRDefault="00000000">
      <w:pPr>
        <w:numPr>
          <w:ilvl w:val="0"/>
          <w:numId w:val="5"/>
        </w:numPr>
        <w:spacing w:line="360" w:lineRule="auto"/>
        <w:ind w:firstLineChars="250" w:firstLine="70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在学校认定的学生组织和社团中担任学生干部一年及以上，热心为同学服务，能力突出，业绩显著，在同学中有较高威信，起到了学生骨干和模范带头作用；</w:t>
      </w:r>
    </w:p>
    <w:p w14:paraId="5EA96032" w14:textId="77777777" w:rsidR="009F2265" w:rsidRDefault="00000000">
      <w:pPr>
        <w:numPr>
          <w:ilvl w:val="0"/>
          <w:numId w:val="5"/>
        </w:numPr>
        <w:spacing w:line="360" w:lineRule="auto"/>
        <w:ind w:firstLineChars="250" w:firstLine="70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具有较强社会责任心，积极参加社会公益活动、暑期社会实践活动、支教活动等，成绩显著；</w:t>
      </w:r>
    </w:p>
    <w:p w14:paraId="5EA96033" w14:textId="77777777" w:rsidR="009F2265" w:rsidRDefault="00000000">
      <w:pPr>
        <w:numPr>
          <w:ilvl w:val="0"/>
          <w:numId w:val="5"/>
        </w:numPr>
        <w:spacing w:line="360" w:lineRule="auto"/>
        <w:ind w:firstLineChars="250" w:firstLine="70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在国际、国内重要组织中实习或挂职；</w:t>
      </w:r>
    </w:p>
    <w:p w14:paraId="5EA96034" w14:textId="77777777" w:rsidR="009F2265" w:rsidRDefault="00000000">
      <w:pPr>
        <w:numPr>
          <w:ilvl w:val="0"/>
          <w:numId w:val="5"/>
        </w:numPr>
        <w:spacing w:line="360" w:lineRule="auto"/>
        <w:ind w:firstLineChars="250" w:firstLine="70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其他活动中表现优异，表现出特别出色的领导能力和潜力。</w:t>
      </w:r>
    </w:p>
    <w:p w14:paraId="5EA96035" w14:textId="77777777" w:rsidR="009F2265" w:rsidRDefault="00000000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注：若不符合续评资格或因其他原因不参加本次续评，需提交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lastRenderedPageBreak/>
        <w:t>取消续评说明。</w:t>
      </w:r>
    </w:p>
    <w:p w14:paraId="5EA96036" w14:textId="77777777" w:rsidR="009F2265" w:rsidRDefault="00000000">
      <w:pPr>
        <w:spacing w:line="360" w:lineRule="auto"/>
        <w:ind w:firstLine="57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（四）具有下列情况之一的，不具备申请资格</w:t>
      </w:r>
    </w:p>
    <w:p w14:paraId="5EA96037" w14:textId="77777777" w:rsidR="009F2265" w:rsidRDefault="00000000">
      <w:pPr>
        <w:numPr>
          <w:ilvl w:val="0"/>
          <w:numId w:val="6"/>
        </w:numPr>
        <w:spacing w:line="360" w:lineRule="auto"/>
        <w:ind w:firstLineChars="250" w:firstLine="70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在校期间受到过违纪处分且尚未解除的；</w:t>
      </w:r>
    </w:p>
    <w:p w14:paraId="5EA96038" w14:textId="77777777" w:rsidR="009F2265" w:rsidRDefault="00000000">
      <w:pPr>
        <w:numPr>
          <w:ilvl w:val="0"/>
          <w:numId w:val="6"/>
        </w:numPr>
        <w:spacing w:line="360" w:lineRule="auto"/>
        <w:ind w:firstLineChars="250" w:firstLine="70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评奖年度内有违反校纪校规行为的；</w:t>
      </w:r>
    </w:p>
    <w:p w14:paraId="5EA96039" w14:textId="77777777" w:rsidR="009F2265" w:rsidRDefault="00000000">
      <w:pPr>
        <w:numPr>
          <w:ilvl w:val="0"/>
          <w:numId w:val="6"/>
        </w:numPr>
        <w:spacing w:line="360" w:lineRule="auto"/>
        <w:ind w:firstLineChars="250" w:firstLine="70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因出国、中止学业或者休学等原因离校的。</w:t>
      </w:r>
    </w:p>
    <w:p w14:paraId="5EA9604A" w14:textId="77777777" w:rsidR="009F2265" w:rsidRDefault="00000000">
      <w:pPr>
        <w:numPr>
          <w:ilvl w:val="0"/>
          <w:numId w:val="1"/>
        </w:numPr>
        <w:spacing w:beforeLines="100" w:before="312" w:line="360" w:lineRule="auto"/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8"/>
          <w:szCs w:val="28"/>
        </w:rPr>
        <w:t>其他要求</w:t>
      </w:r>
    </w:p>
    <w:p w14:paraId="5EA9604B" w14:textId="77777777" w:rsidR="009F2265" w:rsidRDefault="00000000">
      <w:pPr>
        <w:spacing w:line="360" w:lineRule="auto"/>
        <w:ind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 根据协议约定，荣昶奖学金不可与其他奖学金兼得（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不含校优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ABC奖学金）。</w:t>
      </w:r>
    </w:p>
    <w:p w14:paraId="5EA9604C" w14:textId="77777777" w:rsidR="009F2265" w:rsidRDefault="00000000">
      <w:pPr>
        <w:spacing w:line="360" w:lineRule="auto"/>
        <w:ind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 申请人须保证个人相关经历及材料的真实性。如有造假，一经发现，取消评审资格并进行通报批评。</w:t>
      </w:r>
    </w:p>
    <w:sectPr w:rsidR="009F22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98BF" w14:textId="77777777" w:rsidR="003A39D7" w:rsidRDefault="003A39D7">
      <w:r>
        <w:separator/>
      </w:r>
    </w:p>
  </w:endnote>
  <w:endnote w:type="continuationSeparator" w:id="0">
    <w:p w14:paraId="4A81917F" w14:textId="77777777" w:rsidR="003A39D7" w:rsidRDefault="003A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604D" w14:textId="77777777" w:rsidR="009F2265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9604E" wp14:editId="5EA960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96050" w14:textId="77777777" w:rsidR="009F2265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9604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A96050" w14:textId="77777777" w:rsidR="009F2265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7A3F" w14:textId="77777777" w:rsidR="003A39D7" w:rsidRDefault="003A39D7">
      <w:r>
        <w:separator/>
      </w:r>
    </w:p>
  </w:footnote>
  <w:footnote w:type="continuationSeparator" w:id="0">
    <w:p w14:paraId="64949D71" w14:textId="77777777" w:rsidR="003A39D7" w:rsidRDefault="003A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37951D"/>
    <w:multiLevelType w:val="singleLevel"/>
    <w:tmpl w:val="8F37951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DA45070"/>
    <w:multiLevelType w:val="singleLevel"/>
    <w:tmpl w:val="9DA4507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1664D73"/>
    <w:multiLevelType w:val="singleLevel"/>
    <w:tmpl w:val="E1664D7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CA45203"/>
    <w:multiLevelType w:val="singleLevel"/>
    <w:tmpl w:val="0CA4520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AC9CE21"/>
    <w:multiLevelType w:val="singleLevel"/>
    <w:tmpl w:val="2AC9CE21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5FB82A6"/>
    <w:multiLevelType w:val="singleLevel"/>
    <w:tmpl w:val="55FB82A6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DF10A7A"/>
    <w:multiLevelType w:val="singleLevel"/>
    <w:tmpl w:val="7DF10A7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 w16cid:durableId="442653576">
    <w:abstractNumId w:val="6"/>
  </w:num>
  <w:num w:numId="2" w16cid:durableId="354500967">
    <w:abstractNumId w:val="2"/>
  </w:num>
  <w:num w:numId="3" w16cid:durableId="751319312">
    <w:abstractNumId w:val="5"/>
  </w:num>
  <w:num w:numId="4" w16cid:durableId="1518413">
    <w:abstractNumId w:val="3"/>
  </w:num>
  <w:num w:numId="5" w16cid:durableId="1793670053">
    <w:abstractNumId w:val="4"/>
  </w:num>
  <w:num w:numId="6" w16cid:durableId="476335384">
    <w:abstractNumId w:val="1"/>
  </w:num>
  <w:num w:numId="7" w16cid:durableId="101642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VlNDc4ZWEzYjM1MjcyOTY3ZDA2MTdlM2QzMTU5OWEifQ=="/>
  </w:docVars>
  <w:rsids>
    <w:rsidRoot w:val="004C765A"/>
    <w:rsid w:val="0002723B"/>
    <w:rsid w:val="0004641C"/>
    <w:rsid w:val="0007054A"/>
    <w:rsid w:val="00073B90"/>
    <w:rsid w:val="0008254A"/>
    <w:rsid w:val="000A6EFA"/>
    <w:rsid w:val="000B5BC2"/>
    <w:rsid w:val="000F4EFC"/>
    <w:rsid w:val="000F6CD8"/>
    <w:rsid w:val="001200E7"/>
    <w:rsid w:val="00132F32"/>
    <w:rsid w:val="001358EF"/>
    <w:rsid w:val="001615F3"/>
    <w:rsid w:val="00163D64"/>
    <w:rsid w:val="001774D4"/>
    <w:rsid w:val="00182E57"/>
    <w:rsid w:val="00196D56"/>
    <w:rsid w:val="001A6D4D"/>
    <w:rsid w:val="001B246C"/>
    <w:rsid w:val="001C2F8F"/>
    <w:rsid w:val="001D1D1F"/>
    <w:rsid w:val="001D7AAF"/>
    <w:rsid w:val="001F731D"/>
    <w:rsid w:val="001F7957"/>
    <w:rsid w:val="002169EB"/>
    <w:rsid w:val="00243D87"/>
    <w:rsid w:val="0024469C"/>
    <w:rsid w:val="00262C08"/>
    <w:rsid w:val="00281C70"/>
    <w:rsid w:val="00282681"/>
    <w:rsid w:val="002A084A"/>
    <w:rsid w:val="002A4D17"/>
    <w:rsid w:val="002A56D1"/>
    <w:rsid w:val="002B074C"/>
    <w:rsid w:val="002B1B2B"/>
    <w:rsid w:val="002C0BA8"/>
    <w:rsid w:val="002C46D9"/>
    <w:rsid w:val="002D54D4"/>
    <w:rsid w:val="002E0463"/>
    <w:rsid w:val="002F62C9"/>
    <w:rsid w:val="00312C4F"/>
    <w:rsid w:val="00321CDE"/>
    <w:rsid w:val="00326178"/>
    <w:rsid w:val="0033770F"/>
    <w:rsid w:val="00351272"/>
    <w:rsid w:val="00375885"/>
    <w:rsid w:val="003758A7"/>
    <w:rsid w:val="0038272C"/>
    <w:rsid w:val="00385D6F"/>
    <w:rsid w:val="0038701F"/>
    <w:rsid w:val="003A39D7"/>
    <w:rsid w:val="003A77D8"/>
    <w:rsid w:val="003E1CFA"/>
    <w:rsid w:val="00410339"/>
    <w:rsid w:val="00410B39"/>
    <w:rsid w:val="0041288F"/>
    <w:rsid w:val="00417920"/>
    <w:rsid w:val="00423F92"/>
    <w:rsid w:val="004313AE"/>
    <w:rsid w:val="004404EA"/>
    <w:rsid w:val="00455557"/>
    <w:rsid w:val="00483AE2"/>
    <w:rsid w:val="004A6A53"/>
    <w:rsid w:val="004B1A6E"/>
    <w:rsid w:val="004C064D"/>
    <w:rsid w:val="004C152D"/>
    <w:rsid w:val="004C765A"/>
    <w:rsid w:val="004E00AA"/>
    <w:rsid w:val="00527A47"/>
    <w:rsid w:val="00533177"/>
    <w:rsid w:val="00553ADA"/>
    <w:rsid w:val="00567AF9"/>
    <w:rsid w:val="00577F10"/>
    <w:rsid w:val="0058540B"/>
    <w:rsid w:val="00585A1A"/>
    <w:rsid w:val="00594CEF"/>
    <w:rsid w:val="005C0807"/>
    <w:rsid w:val="005C4329"/>
    <w:rsid w:val="005C5663"/>
    <w:rsid w:val="005D3CAC"/>
    <w:rsid w:val="005E4825"/>
    <w:rsid w:val="005F5874"/>
    <w:rsid w:val="00603437"/>
    <w:rsid w:val="006137C1"/>
    <w:rsid w:val="00642717"/>
    <w:rsid w:val="0065242F"/>
    <w:rsid w:val="006530D6"/>
    <w:rsid w:val="006626BD"/>
    <w:rsid w:val="00685DF5"/>
    <w:rsid w:val="006B28BC"/>
    <w:rsid w:val="006C054E"/>
    <w:rsid w:val="006C166F"/>
    <w:rsid w:val="006C745C"/>
    <w:rsid w:val="006C7DFD"/>
    <w:rsid w:val="006E328A"/>
    <w:rsid w:val="006E42E7"/>
    <w:rsid w:val="007021BB"/>
    <w:rsid w:val="007044D9"/>
    <w:rsid w:val="00704AEB"/>
    <w:rsid w:val="00735B69"/>
    <w:rsid w:val="007521B6"/>
    <w:rsid w:val="007578F8"/>
    <w:rsid w:val="007601F3"/>
    <w:rsid w:val="00766C3D"/>
    <w:rsid w:val="0077753E"/>
    <w:rsid w:val="007A333C"/>
    <w:rsid w:val="007A6985"/>
    <w:rsid w:val="007C15D3"/>
    <w:rsid w:val="007F0A08"/>
    <w:rsid w:val="008239A4"/>
    <w:rsid w:val="0082444A"/>
    <w:rsid w:val="00840348"/>
    <w:rsid w:val="008675B0"/>
    <w:rsid w:val="008708ED"/>
    <w:rsid w:val="00873CDF"/>
    <w:rsid w:val="00876A68"/>
    <w:rsid w:val="00891E93"/>
    <w:rsid w:val="0089269D"/>
    <w:rsid w:val="008A5763"/>
    <w:rsid w:val="008A5F9A"/>
    <w:rsid w:val="008B0FEF"/>
    <w:rsid w:val="008C225C"/>
    <w:rsid w:val="008D6889"/>
    <w:rsid w:val="008D76C7"/>
    <w:rsid w:val="008E2F95"/>
    <w:rsid w:val="008E588C"/>
    <w:rsid w:val="008F07E6"/>
    <w:rsid w:val="0090086B"/>
    <w:rsid w:val="009145E6"/>
    <w:rsid w:val="00930546"/>
    <w:rsid w:val="0093272F"/>
    <w:rsid w:val="00937B9C"/>
    <w:rsid w:val="00957F6A"/>
    <w:rsid w:val="00961F7A"/>
    <w:rsid w:val="0098092A"/>
    <w:rsid w:val="00980EAD"/>
    <w:rsid w:val="009C011A"/>
    <w:rsid w:val="009C6C12"/>
    <w:rsid w:val="009D1890"/>
    <w:rsid w:val="009D2257"/>
    <w:rsid w:val="009F2265"/>
    <w:rsid w:val="009F76CF"/>
    <w:rsid w:val="00A05E1E"/>
    <w:rsid w:val="00A15574"/>
    <w:rsid w:val="00A206A6"/>
    <w:rsid w:val="00A45E67"/>
    <w:rsid w:val="00A5134C"/>
    <w:rsid w:val="00A56280"/>
    <w:rsid w:val="00A56670"/>
    <w:rsid w:val="00A657AF"/>
    <w:rsid w:val="00A67445"/>
    <w:rsid w:val="00A824C1"/>
    <w:rsid w:val="00A828A5"/>
    <w:rsid w:val="00AA248E"/>
    <w:rsid w:val="00AC7C9E"/>
    <w:rsid w:val="00AD513B"/>
    <w:rsid w:val="00AF6134"/>
    <w:rsid w:val="00B47D20"/>
    <w:rsid w:val="00B6184D"/>
    <w:rsid w:val="00B86CD5"/>
    <w:rsid w:val="00B979F5"/>
    <w:rsid w:val="00BA46E6"/>
    <w:rsid w:val="00BB56AF"/>
    <w:rsid w:val="00BC481E"/>
    <w:rsid w:val="00BD5E1B"/>
    <w:rsid w:val="00BD7DF1"/>
    <w:rsid w:val="00C0073C"/>
    <w:rsid w:val="00C12002"/>
    <w:rsid w:val="00C12ECB"/>
    <w:rsid w:val="00C16C24"/>
    <w:rsid w:val="00C25A9C"/>
    <w:rsid w:val="00C25B0F"/>
    <w:rsid w:val="00C26FE5"/>
    <w:rsid w:val="00C35B57"/>
    <w:rsid w:val="00C4182E"/>
    <w:rsid w:val="00C41EF7"/>
    <w:rsid w:val="00C650E6"/>
    <w:rsid w:val="00C76691"/>
    <w:rsid w:val="00C849DF"/>
    <w:rsid w:val="00C85B96"/>
    <w:rsid w:val="00CA4D34"/>
    <w:rsid w:val="00CA5F55"/>
    <w:rsid w:val="00CB3679"/>
    <w:rsid w:val="00CC476D"/>
    <w:rsid w:val="00D25050"/>
    <w:rsid w:val="00D41208"/>
    <w:rsid w:val="00D84195"/>
    <w:rsid w:val="00D845FE"/>
    <w:rsid w:val="00D86004"/>
    <w:rsid w:val="00D93B13"/>
    <w:rsid w:val="00D958B4"/>
    <w:rsid w:val="00DA70B0"/>
    <w:rsid w:val="00DC1AB8"/>
    <w:rsid w:val="00DE4802"/>
    <w:rsid w:val="00DF5345"/>
    <w:rsid w:val="00E115A7"/>
    <w:rsid w:val="00E279DF"/>
    <w:rsid w:val="00E36437"/>
    <w:rsid w:val="00E40E34"/>
    <w:rsid w:val="00E414A3"/>
    <w:rsid w:val="00E6526B"/>
    <w:rsid w:val="00E73307"/>
    <w:rsid w:val="00EA6C43"/>
    <w:rsid w:val="00EC3ECB"/>
    <w:rsid w:val="00EC52EF"/>
    <w:rsid w:val="00ED50CA"/>
    <w:rsid w:val="00EE7C08"/>
    <w:rsid w:val="00F23424"/>
    <w:rsid w:val="00F2602A"/>
    <w:rsid w:val="00F3131E"/>
    <w:rsid w:val="00F50936"/>
    <w:rsid w:val="00F51F93"/>
    <w:rsid w:val="00F53FC1"/>
    <w:rsid w:val="00F55286"/>
    <w:rsid w:val="00F57C80"/>
    <w:rsid w:val="00F63894"/>
    <w:rsid w:val="00F669F8"/>
    <w:rsid w:val="00F726A1"/>
    <w:rsid w:val="00F81C6C"/>
    <w:rsid w:val="00F8639E"/>
    <w:rsid w:val="00FA0859"/>
    <w:rsid w:val="00FA5755"/>
    <w:rsid w:val="00FB45A7"/>
    <w:rsid w:val="00FB4C03"/>
    <w:rsid w:val="00FE0B07"/>
    <w:rsid w:val="00FE23BB"/>
    <w:rsid w:val="110443C5"/>
    <w:rsid w:val="1CC230D2"/>
    <w:rsid w:val="28572A43"/>
    <w:rsid w:val="2B4175D4"/>
    <w:rsid w:val="2CAE3BF9"/>
    <w:rsid w:val="30EE1D2C"/>
    <w:rsid w:val="42B46234"/>
    <w:rsid w:val="42D23540"/>
    <w:rsid w:val="43D43582"/>
    <w:rsid w:val="484A0CC2"/>
    <w:rsid w:val="50FF60F4"/>
    <w:rsid w:val="57F34D8F"/>
    <w:rsid w:val="585D2A27"/>
    <w:rsid w:val="5D466894"/>
    <w:rsid w:val="668C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96002"/>
  <w15:docId w15:val="{F1D0EA53-305D-4260-A21B-25C88F61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widowControl/>
      <w:spacing w:before="260" w:after="260" w:line="416" w:lineRule="auto"/>
      <w:ind w:firstLineChars="200" w:firstLine="200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yuyang</dc:creator>
  <cp:lastModifiedBy>云霞 李</cp:lastModifiedBy>
  <cp:revision>14</cp:revision>
  <cp:lastPrinted>2025-09-19T06:22:00Z</cp:lastPrinted>
  <dcterms:created xsi:type="dcterms:W3CDTF">2022-09-30T02:30:00Z</dcterms:created>
  <dcterms:modified xsi:type="dcterms:W3CDTF">2025-10-22T02:23:00Z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5F0E7D36A1614B70980EA17E0176AFF2_13</vt:lpwstr>
  </property>
  <property fmtid="{D5CDD505-2E9C-101B-9397-08002B2CF9AE}" pid="4" name="KSOTemplateDocerSaveRecord">
    <vt:lpwstr>eyJoZGlkIjoiMWVlNDc4ZWEzYjM1MjcyOTY3ZDA2MTdlM2QzMTU5OWEiLCJ1c2VySWQiOiI3NTQ3OTM5OTIifQ==</vt:lpwstr>
  </property>
</Properties>
</file>